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4D49" w14:textId="57404EB4" w:rsidR="009340F2" w:rsidRPr="00B00325" w:rsidRDefault="0019706D" w:rsidP="00EF0E55">
      <w:pPr>
        <w:pStyle w:val="NoSpacing"/>
        <w:rPr>
          <w:b/>
          <w:bCs/>
          <w:lang w:val="en-US"/>
        </w:rPr>
      </w:pPr>
      <w:r w:rsidRPr="00B00325">
        <w:rPr>
          <w:b/>
          <w:bCs/>
          <w:lang w:val="en-US"/>
        </w:rPr>
        <w:t>ISBR 202</w:t>
      </w:r>
      <w:r w:rsidR="009F1DCF">
        <w:rPr>
          <w:b/>
          <w:bCs/>
          <w:lang w:val="en-US"/>
        </w:rPr>
        <w:t>5</w:t>
      </w:r>
      <w:r w:rsidRPr="00B00325">
        <w:rPr>
          <w:b/>
          <w:bCs/>
          <w:lang w:val="en-US"/>
        </w:rPr>
        <w:t xml:space="preserve"> </w:t>
      </w:r>
      <w:r w:rsidR="001D37EE" w:rsidRPr="00B00325">
        <w:rPr>
          <w:b/>
          <w:bCs/>
          <w:lang w:val="en-US"/>
        </w:rPr>
        <w:t xml:space="preserve">Exhibition </w:t>
      </w:r>
      <w:r w:rsidRPr="00B00325">
        <w:rPr>
          <w:b/>
          <w:bCs/>
          <w:lang w:val="en-US"/>
        </w:rPr>
        <w:t>packages</w:t>
      </w:r>
    </w:p>
    <w:p w14:paraId="00B2F7CE" w14:textId="77777777" w:rsidR="0019706D" w:rsidRDefault="0019706D" w:rsidP="01664D0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Next LT Pro" w:hAnsi="Avenir Next LT Pro" w:cs="Calibri"/>
          <w:color w:val="000000"/>
          <w:highlight w:val="yellow"/>
          <w:bdr w:val="none" w:sz="0" w:space="0" w:color="auto" w:frame="1"/>
        </w:rPr>
      </w:pPr>
    </w:p>
    <w:p w14:paraId="24725EA7" w14:textId="002A9A96" w:rsidR="009455C8" w:rsidRPr="007B7806" w:rsidRDefault="00D404AE" w:rsidP="01664D0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Next LT Pro" w:hAnsi="Avenir Next LT Pro" w:cs="Calibri"/>
          <w:color w:val="000000"/>
          <w:bdr w:val="none" w:sz="0" w:space="0" w:color="auto" w:frame="1"/>
        </w:rPr>
      </w:pPr>
      <w:r>
        <w:rPr>
          <w:rFonts w:ascii="Avenir Next LT Pro" w:hAnsi="Avenir Next LT Pro" w:cs="Calibri"/>
          <w:color w:val="000000"/>
          <w:bdr w:val="none" w:sz="0" w:space="0" w:color="auto" w:frame="1"/>
        </w:rPr>
        <w:t>The International Society for Biosafety Research (ISBR)</w:t>
      </w:r>
      <w:r w:rsidR="009455C8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offers companies an opportunity to </w:t>
      </w:r>
      <w:r w:rsidR="00A608DD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exhibit at </w:t>
      </w:r>
      <w:r w:rsidR="00D65C9C">
        <w:rPr>
          <w:rFonts w:ascii="Avenir Next LT Pro" w:hAnsi="Avenir Next LT Pro" w:cs="Calibri"/>
          <w:color w:val="000000"/>
          <w:bdr w:val="none" w:sz="0" w:space="0" w:color="auto" w:frame="1"/>
        </w:rPr>
        <w:t>the</w:t>
      </w:r>
      <w:r w:rsidR="00A608DD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ISBR </w:t>
      </w:r>
      <w:r>
        <w:rPr>
          <w:rFonts w:ascii="Avenir Next LT Pro" w:hAnsi="Avenir Next LT Pro" w:cs="Calibri"/>
          <w:color w:val="000000"/>
          <w:bdr w:val="none" w:sz="0" w:space="0" w:color="auto" w:frame="1"/>
        </w:rPr>
        <w:t>S</w:t>
      </w:r>
      <w:r w:rsidR="00A608DD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>ymposium</w:t>
      </w:r>
      <w:r w:rsidR="00D65C9C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to be held from 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>2</w:t>
      </w:r>
      <w:r w:rsidR="009F1DCF" w:rsidRPr="009F1DCF">
        <w:rPr>
          <w:rFonts w:ascii="Avenir Next LT Pro" w:hAnsi="Avenir Next LT Pro" w:cs="Calibri"/>
          <w:color w:val="000000"/>
          <w:bdr w:val="none" w:sz="0" w:space="0" w:color="auto" w:frame="1"/>
          <w:vertAlign w:val="superscript"/>
        </w:rPr>
        <w:t>nd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November </w:t>
      </w:r>
      <w:r w:rsidR="00D65C9C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to 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6 November 2025 </w:t>
      </w:r>
      <w:r w:rsidR="002E10A7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at the 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>ICC</w:t>
      </w:r>
      <w:r w:rsidR="002E10A7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, 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>Ghent, Belgium</w:t>
      </w:r>
      <w:r w:rsidR="00AC516F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>. The booths are draped structures and no shell scheme structures or custom</w:t>
      </w:r>
      <w:r w:rsidR="00B05C61">
        <w:rPr>
          <w:rFonts w:ascii="Avenir Next LT Pro" w:hAnsi="Avenir Next LT Pro" w:cs="Calibri"/>
          <w:color w:val="000000"/>
          <w:bdr w:val="none" w:sz="0" w:space="0" w:color="auto" w:frame="1"/>
        </w:rPr>
        <w:t>-</w:t>
      </w:r>
      <w:r w:rsidR="00AC516F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built stands are </w:t>
      </w:r>
      <w:r w:rsidR="00B05C61">
        <w:rPr>
          <w:rFonts w:ascii="Avenir Next LT Pro" w:hAnsi="Avenir Next LT Pro" w:cs="Calibri"/>
          <w:color w:val="000000"/>
          <w:bdr w:val="none" w:sz="0" w:space="0" w:color="auto" w:frame="1"/>
        </w:rPr>
        <w:t>permitted</w:t>
      </w:r>
      <w:r w:rsidR="00AC516F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. </w:t>
      </w:r>
      <w:r w:rsidR="00534603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The structures will be erected on the morning of </w:t>
      </w:r>
      <w:r w:rsidR="005E274E">
        <w:rPr>
          <w:rFonts w:ascii="Avenir Next LT Pro" w:hAnsi="Avenir Next LT Pro" w:cs="Calibri"/>
          <w:color w:val="000000"/>
          <w:bdr w:val="none" w:sz="0" w:space="0" w:color="auto" w:frame="1"/>
        </w:rPr>
        <w:t>Sunday</w:t>
      </w:r>
      <w:r w:rsidR="00B05C61">
        <w:rPr>
          <w:rFonts w:ascii="Avenir Next LT Pro" w:hAnsi="Avenir Next LT Pro" w:cs="Calibri"/>
          <w:color w:val="000000"/>
          <w:bdr w:val="none" w:sz="0" w:space="0" w:color="auto" w:frame="1"/>
        </w:rPr>
        <w:t>,</w:t>
      </w:r>
      <w:r w:rsidR="00534603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>2</w:t>
      </w:r>
      <w:r w:rsidR="009F1DCF" w:rsidRPr="009F1DCF">
        <w:rPr>
          <w:rFonts w:ascii="Avenir Next LT Pro" w:hAnsi="Avenir Next LT Pro" w:cs="Calibri"/>
          <w:color w:val="000000"/>
          <w:bdr w:val="none" w:sz="0" w:space="0" w:color="auto" w:frame="1"/>
          <w:vertAlign w:val="superscript"/>
        </w:rPr>
        <w:t>nd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November </w:t>
      </w:r>
      <w:r w:rsidR="00534603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and will be ready for exhibitors to move in at </w:t>
      </w:r>
      <w:r w:rsidR="0026153A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>1</w:t>
      </w:r>
      <w:r w:rsidR="00991797">
        <w:rPr>
          <w:rFonts w:ascii="Avenir Next LT Pro" w:hAnsi="Avenir Next LT Pro" w:cs="Calibri"/>
          <w:color w:val="000000"/>
          <w:bdr w:val="none" w:sz="0" w:space="0" w:color="auto" w:frame="1"/>
        </w:rPr>
        <w:t>4</w:t>
      </w:r>
      <w:r w:rsidR="0026153A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>:00am</w:t>
      </w:r>
      <w:r w:rsidR="007708F5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</w:t>
      </w:r>
      <w:r w:rsidR="002E10A7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that day </w:t>
      </w:r>
      <w:r w:rsidR="007708F5">
        <w:rPr>
          <w:rFonts w:ascii="Avenir Next LT Pro" w:hAnsi="Avenir Next LT Pro" w:cs="Calibri"/>
          <w:color w:val="000000"/>
          <w:bdr w:val="none" w:sz="0" w:space="0" w:color="auto" w:frame="1"/>
        </w:rPr>
        <w:t>to dress their stands</w:t>
      </w:r>
      <w:r w:rsidR="00F63A30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(Pull up banners are advised)</w:t>
      </w:r>
      <w:r w:rsidR="0026153A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. All teas and lunches will be held in the exhibition area </w:t>
      </w:r>
      <w:r w:rsidR="00987B14">
        <w:rPr>
          <w:rFonts w:ascii="Avenir Next LT Pro" w:hAnsi="Avenir Next LT Pro" w:cs="Calibri"/>
          <w:color w:val="000000"/>
          <w:bdr w:val="none" w:sz="0" w:space="0" w:color="auto" w:frame="1"/>
        </w:rPr>
        <w:t>(</w:t>
      </w:r>
      <w:r w:rsidR="009F1DCF">
        <w:rPr>
          <w:rFonts w:ascii="Avenir Next LT Pro" w:hAnsi="Avenir Next LT Pro" w:cs="Calibri"/>
          <w:color w:val="000000"/>
          <w:bdr w:val="none" w:sz="0" w:space="0" w:color="auto" w:frame="1"/>
        </w:rPr>
        <w:t>First floor</w:t>
      </w:r>
      <w:r w:rsidR="00E90FC7">
        <w:rPr>
          <w:rFonts w:ascii="Avenir Next LT Pro" w:hAnsi="Avenir Next LT Pro" w:cs="Calibri"/>
          <w:color w:val="000000"/>
          <w:bdr w:val="none" w:sz="0" w:space="0" w:color="auto" w:frame="1"/>
        </w:rPr>
        <w:t>).</w:t>
      </w:r>
      <w:r w:rsidR="007B7806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</w:t>
      </w:r>
      <w:r w:rsidR="004600AE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On Sunday evening we will be hosting the welcome reception in the same area </w:t>
      </w:r>
      <w:r w:rsidR="00634326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and you would need to be set up by 17:00. </w:t>
      </w:r>
      <w:r w:rsidR="00D90047">
        <w:rPr>
          <w:rFonts w:ascii="Avenir Next LT Pro" w:hAnsi="Avenir Next LT Pro" w:cs="Calibri"/>
          <w:color w:val="000000"/>
          <w:bdr w:val="none" w:sz="0" w:space="0" w:color="auto" w:frame="1"/>
        </w:rPr>
        <w:t>A p</w:t>
      </w:r>
      <w:r w:rsidR="007B7806" w:rsidRPr="007B7806">
        <w:rPr>
          <w:rFonts w:ascii="Avenir Next LT Pro" w:hAnsi="Avenir Next LT Pro" w:cs="Calibri"/>
          <w:color w:val="000000"/>
          <w:bdr w:val="none" w:sz="0" w:space="0" w:color="auto" w:frame="1"/>
        </w:rPr>
        <w:t>erfect opportunity to network and discuss opportunities to collaborate</w:t>
      </w:r>
      <w:r w:rsidR="00D90047">
        <w:rPr>
          <w:rFonts w:ascii="Avenir Next LT Pro" w:hAnsi="Avenir Next LT Pro" w:cs="Calibri"/>
          <w:color w:val="000000"/>
          <w:bdr w:val="none" w:sz="0" w:space="0" w:color="auto" w:frame="1"/>
        </w:rPr>
        <w:t xml:space="preserve"> and share experiences and insights</w:t>
      </w:r>
      <w:r w:rsidR="00134EC9">
        <w:rPr>
          <w:rFonts w:ascii="Avenir Next LT Pro" w:hAnsi="Avenir Next LT Pro" w:cs="Calibri"/>
          <w:color w:val="000000"/>
          <w:bdr w:val="none" w:sz="0" w:space="0" w:color="auto" w:frame="1"/>
        </w:rPr>
        <w:t>.</w:t>
      </w:r>
    </w:p>
    <w:p w14:paraId="07D762E7" w14:textId="77777777" w:rsidR="002428BF" w:rsidRDefault="002428BF" w:rsidP="01664D0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Next LT Pro" w:hAnsi="Avenir Next LT Pro" w:cs="Calibri"/>
          <w:color w:val="000000"/>
          <w:highlight w:val="yellow"/>
          <w:bdr w:val="none" w:sz="0" w:space="0" w:color="auto" w:frame="1"/>
        </w:rPr>
      </w:pPr>
    </w:p>
    <w:p w14:paraId="1067D18F" w14:textId="14CE76FD" w:rsidR="00B05C61" w:rsidRPr="00F1066F" w:rsidRDefault="00F1066F" w:rsidP="01664D0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Next LT Pro" w:hAnsi="Avenir Next LT Pro" w:cs="Calibri"/>
          <w:b/>
          <w:bCs/>
          <w:color w:val="000000"/>
          <w:sz w:val="36"/>
          <w:szCs w:val="36"/>
          <w:bdr w:val="none" w:sz="0" w:space="0" w:color="auto" w:frame="1"/>
        </w:rPr>
      </w:pPr>
      <w:r w:rsidRPr="00F1066F">
        <w:rPr>
          <w:rFonts w:ascii="Avenir Next LT Pro" w:hAnsi="Avenir Next LT Pro" w:cs="Calibri"/>
          <w:b/>
          <w:bCs/>
          <w:color w:val="000000"/>
          <w:sz w:val="36"/>
          <w:szCs w:val="36"/>
          <w:bdr w:val="none" w:sz="0" w:space="0" w:color="auto" w:frame="1"/>
        </w:rPr>
        <w:t>Exhibition rates</w:t>
      </w:r>
    </w:p>
    <w:p w14:paraId="49076624" w14:textId="495E2A00" w:rsidR="002428BF" w:rsidRPr="002428BF" w:rsidRDefault="002428BF" w:rsidP="002428BF">
      <w:pPr>
        <w:shd w:val="clear" w:color="auto" w:fill="FFFFFF"/>
        <w:spacing w:after="75" w:line="300" w:lineRule="atLeast"/>
        <w:textAlignment w:val="baseline"/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</w:pPr>
      <w:r w:rsidRPr="002428BF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Regular Rate - $1,</w:t>
      </w:r>
      <w:r w:rsidR="00AE2320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3</w:t>
      </w:r>
      <w:r w:rsidR="00134EC9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00</w:t>
      </w:r>
      <w:r w:rsidRPr="002428BF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 xml:space="preserve"> per booth</w:t>
      </w:r>
    </w:p>
    <w:p w14:paraId="3BE64859" w14:textId="5A0B230F" w:rsidR="002428BF" w:rsidRPr="002428BF" w:rsidRDefault="00C02C64" w:rsidP="002428BF">
      <w:pPr>
        <w:shd w:val="clear" w:color="auto" w:fill="FFFFFF"/>
        <w:spacing w:after="150" w:line="240" w:lineRule="auto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January 15</w:t>
      </w:r>
      <w:r w:rsidR="00086581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, 2025 –</w:t>
      </w:r>
      <w:r w:rsidR="002428BF"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</w:t>
      </w:r>
      <w:r w:rsidR="00086581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March </w:t>
      </w:r>
      <w:proofErr w:type="gramStart"/>
      <w:r w:rsidR="00086581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31 </w:t>
      </w:r>
      <w:r w:rsidR="002428BF"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,</w:t>
      </w:r>
      <w:proofErr w:type="gramEnd"/>
      <w:r w:rsidR="002428BF"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202</w:t>
      </w:r>
      <w:r w:rsidR="009F1DC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5</w:t>
      </w:r>
    </w:p>
    <w:p w14:paraId="17FE350F" w14:textId="4C805E78" w:rsidR="002428BF" w:rsidRPr="002428BF" w:rsidRDefault="002428BF" w:rsidP="00DA6B63">
      <w:pPr>
        <w:shd w:val="clear" w:color="auto" w:fill="FFFFFF"/>
        <w:spacing w:after="150" w:line="240" w:lineRule="auto"/>
        <w:textAlignment w:val="baseline"/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</w:pP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 </w:t>
      </w:r>
      <w:r w:rsidRPr="002428BF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Late Registration Rate - $1,</w:t>
      </w:r>
      <w:r w:rsidR="00AE2320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6</w:t>
      </w:r>
      <w:r w:rsidRPr="002428BF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00 per booth</w:t>
      </w:r>
    </w:p>
    <w:p w14:paraId="0E4637D3" w14:textId="13EA5743" w:rsidR="002428BF" w:rsidRPr="002428BF" w:rsidRDefault="002428BF" w:rsidP="002428BF">
      <w:pPr>
        <w:shd w:val="clear" w:color="auto" w:fill="FFFFFF"/>
        <w:spacing w:after="150" w:line="240" w:lineRule="auto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After </w:t>
      </w:r>
      <w:r w:rsidR="00086581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March 31</w:t>
      </w:r>
      <w:r w:rsidR="009F1DC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(from 1 </w:t>
      </w:r>
      <w:r w:rsidR="00086581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April</w:t>
      </w:r>
      <w:r w:rsidR="009F1DC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)</w:t>
      </w: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, 202</w:t>
      </w:r>
      <w:r w:rsidR="009F1DC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5</w:t>
      </w:r>
    </w:p>
    <w:p w14:paraId="4F57AA8D" w14:textId="18BDF60D" w:rsidR="002428BF" w:rsidRPr="002428BF" w:rsidRDefault="002428BF" w:rsidP="00DA6B63">
      <w:pPr>
        <w:shd w:val="clear" w:color="auto" w:fill="FFFFFF"/>
        <w:spacing w:after="150" w:line="240" w:lineRule="auto"/>
        <w:textAlignment w:val="baseline"/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</w:pPr>
      <w:r w:rsidRPr="002428BF">
        <w:rPr>
          <w:rFonts w:ascii="Avenir Next LT Pro" w:eastAsia="Times New Roman" w:hAnsi="Avenir Next LT Pro" w:cs="Times New Roman"/>
          <w:color w:val="000000"/>
          <w:sz w:val="18"/>
          <w:szCs w:val="18"/>
          <w:shd w:val="clear" w:color="auto" w:fill="FFFFFF"/>
          <w:lang w:eastAsia="en-ZA"/>
        </w:rPr>
        <w:t> </w:t>
      </w:r>
      <w:r w:rsidRPr="002428BF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Additional Booth Personnel Registration - $</w:t>
      </w:r>
      <w:r w:rsidR="008C0A22">
        <w:rPr>
          <w:rFonts w:ascii="Avenir Next LT Pro" w:eastAsia="Times New Roman" w:hAnsi="Avenir Next LT Pro" w:cs="Times New Roman"/>
          <w:color w:val="002664"/>
          <w:sz w:val="32"/>
          <w:szCs w:val="32"/>
          <w:lang w:eastAsia="en-ZA"/>
        </w:rPr>
        <w:t>850</w:t>
      </w:r>
    </w:p>
    <w:p w14:paraId="7136B26B" w14:textId="15DA7181" w:rsidR="002428BF" w:rsidRPr="002428BF" w:rsidRDefault="002428BF" w:rsidP="002428BF">
      <w:pPr>
        <w:shd w:val="clear" w:color="auto" w:fill="FFFFFF"/>
        <w:spacing w:after="150" w:line="240" w:lineRule="auto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All Exhibit Booths include </w:t>
      </w:r>
      <w:r w:rsidR="0040128B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one</w:t>
      </w: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(</w:t>
      </w:r>
      <w:r w:rsidR="0040128B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1</w:t>
      </w: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) Exhibit Booth Personnel Registrations (</w:t>
      </w:r>
      <w:r w:rsidR="008362D0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can</w:t>
      </w: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be used by paper presenters</w:t>
      </w:r>
      <w:r w:rsidR="001D5240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to attend the symposium</w:t>
      </w: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)</w:t>
      </w:r>
      <w:r w:rsidR="00D404AE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.</w:t>
      </w:r>
      <w:r w:rsidRPr="002428BF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Organizations can purchase additional Personnel Registrations if needed</w:t>
      </w:r>
      <w:r w:rsidR="001D5240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 xml:space="preserve"> at an additional charge of $</w:t>
      </w:r>
      <w:r w:rsidR="00890C73"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  <w:t>850.</w:t>
      </w:r>
    </w:p>
    <w:p w14:paraId="4B2FCEB5" w14:textId="5F5D2112" w:rsidR="002428BF" w:rsidRPr="005064EB" w:rsidRDefault="002428BF" w:rsidP="01664D0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Next LT Pro" w:hAnsi="Avenir Next LT Pro" w:cs="Calibri"/>
          <w:color w:val="000000"/>
          <w:highlight w:val="yellow"/>
          <w:bdr w:val="none" w:sz="0" w:space="0" w:color="auto" w:frame="1"/>
        </w:rPr>
      </w:pPr>
    </w:p>
    <w:p w14:paraId="2880FF99" w14:textId="5F627391" w:rsidR="0019706D" w:rsidRPr="0019706D" w:rsidRDefault="0019706D" w:rsidP="0019706D">
      <w:pPr>
        <w:shd w:val="clear" w:color="auto" w:fill="FFFFFF"/>
        <w:spacing w:after="0" w:line="300" w:lineRule="atLeast"/>
        <w:textAlignment w:val="baseline"/>
        <w:rPr>
          <w:rFonts w:ascii="Avenir Next LT Pro" w:eastAsia="Times New Roman" w:hAnsi="Avenir Next LT Pro" w:cs="Times New Roman"/>
          <w:color w:val="002664"/>
          <w:sz w:val="36"/>
          <w:szCs w:val="36"/>
          <w:lang w:eastAsia="en-ZA"/>
        </w:rPr>
      </w:pPr>
      <w:bookmarkStart w:id="0" w:name="_Hlk179226212"/>
      <w:r w:rsidRPr="0019706D">
        <w:rPr>
          <w:rFonts w:ascii="Avenir Next LT Pro" w:eastAsia="Times New Roman" w:hAnsi="Avenir Next LT Pro" w:cs="Times New Roman"/>
          <w:color w:val="002664"/>
          <w:sz w:val="36"/>
          <w:szCs w:val="36"/>
          <w:bdr w:val="none" w:sz="0" w:space="0" w:color="auto" w:frame="1"/>
          <w:lang w:eastAsia="en-ZA"/>
        </w:rPr>
        <w:t>Each Exhibit Booth Rental includes:</w:t>
      </w:r>
    </w:p>
    <w:p w14:paraId="77DA677F" w14:textId="77777777" w:rsidR="0019706D" w:rsidRPr="0019706D" w:rsidRDefault="0019706D" w:rsidP="0019706D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 </w:t>
      </w:r>
    </w:p>
    <w:p w14:paraId="10C167F4" w14:textId="08E024B7" w:rsidR="0019706D" w:rsidRPr="0019706D" w:rsidRDefault="0019706D" w:rsidP="0019706D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One (1</w:t>
      </w:r>
      <w:proofErr w:type="gramStart"/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) </w:t>
      </w:r>
      <w:r w:rsidR="004305EA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fabric</w:t>
      </w:r>
      <w:proofErr w:type="gramEnd"/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booth </w:t>
      </w:r>
      <w:r w:rsidR="002D0940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(please refer to the diagram with the dimensions)</w:t>
      </w:r>
    </w:p>
    <w:p w14:paraId="66BDB602" w14:textId="5B7F1000" w:rsidR="0019706D" w:rsidRPr="0019706D" w:rsidRDefault="0019706D" w:rsidP="0019706D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One (1</w:t>
      </w:r>
      <w:proofErr w:type="gramStart"/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)</w:t>
      </w:r>
      <w:r w:rsidR="00216537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</w:t>
      </w: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skirted</w:t>
      </w:r>
      <w:proofErr w:type="gramEnd"/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table and one wastebasket</w:t>
      </w:r>
    </w:p>
    <w:p w14:paraId="16FC57AD" w14:textId="47E3A755" w:rsidR="0019706D" w:rsidRPr="0019706D" w:rsidRDefault="0019706D" w:rsidP="0019706D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One (1) organization identification sign</w:t>
      </w:r>
    </w:p>
    <w:p w14:paraId="69BC3F5E" w14:textId="7D37558D" w:rsidR="0019706D" w:rsidRPr="0019706D" w:rsidRDefault="0019706D" w:rsidP="0019706D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Two (2) plastic side chairs</w:t>
      </w:r>
    </w:p>
    <w:p w14:paraId="6E9528FB" w14:textId="313B8651" w:rsidR="009147A3" w:rsidRPr="009147A3" w:rsidRDefault="00D61CCE" w:rsidP="009147A3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D61CCE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One</w:t>
      </w:r>
      <w:r w:rsidR="0019706D" w:rsidRPr="00D61CCE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(</w:t>
      </w:r>
      <w:r w:rsidRPr="00D61CCE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1</w:t>
      </w:r>
      <w:r w:rsidR="0019706D" w:rsidRPr="00D61CCE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) Exhibitor</w:t>
      </w:r>
      <w:r w:rsidR="0019706D"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personnel </w:t>
      </w:r>
      <w:r w:rsidR="00086581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Symposium</w:t>
      </w:r>
      <w:r w:rsidR="0019706D"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registration</w:t>
      </w:r>
      <w:r w:rsidR="00173D09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which can be used as a</w:t>
      </w:r>
      <w:r w:rsidR="009147A3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n attendee registration.</w:t>
      </w:r>
    </w:p>
    <w:p w14:paraId="70B5273E" w14:textId="43BEECAE" w:rsidR="0019706D" w:rsidRPr="006F6B74" w:rsidRDefault="0019706D" w:rsidP="009147A3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textAlignment w:val="baseline"/>
        <w:rPr>
          <w:rFonts w:ascii="Avenir Next LT Pro" w:eastAsia="Times New Roman" w:hAnsi="Avenir Next LT Pro" w:cs="Times New Roman"/>
          <w:color w:val="000000"/>
          <w:sz w:val="21"/>
          <w:szCs w:val="21"/>
          <w:lang w:eastAsia="en-ZA"/>
        </w:rPr>
      </w:pP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Organization </w:t>
      </w:r>
      <w:r w:rsidR="009147A3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logo and </w:t>
      </w: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listing on the </w:t>
      </w:r>
      <w:r w:rsidR="002F49E5" w:rsidRPr="005064EB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Symposium</w:t>
      </w:r>
      <w:r w:rsidRPr="0019706D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website</w:t>
      </w:r>
      <w:r w:rsidR="00D61CCE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 xml:space="preserve"> with </w:t>
      </w:r>
      <w:r w:rsidR="008362BE">
        <w:rPr>
          <w:rFonts w:ascii="Avenir Next LT Pro" w:eastAsia="Times New Roman" w:hAnsi="Avenir Next LT Pro" w:cs="Times New Roman"/>
          <w:color w:val="000000"/>
          <w:sz w:val="21"/>
          <w:szCs w:val="21"/>
          <w:bdr w:val="none" w:sz="0" w:space="0" w:color="auto" w:frame="1"/>
          <w:lang w:eastAsia="en-ZA"/>
        </w:rPr>
        <w:t>link to company’s website.</w:t>
      </w:r>
    </w:p>
    <w:bookmarkEnd w:id="0"/>
    <w:p w14:paraId="348E0BBD" w14:textId="7B78FB24" w:rsidR="000A13B1" w:rsidRDefault="000A13B1" w:rsidP="008E620C">
      <w:pPr>
        <w:jc w:val="center"/>
        <w:rPr>
          <w:b/>
          <w:bCs/>
          <w:sz w:val="32"/>
          <w:szCs w:val="32"/>
        </w:rPr>
      </w:pPr>
      <w:r w:rsidRPr="000A13B1">
        <w:rPr>
          <w:b/>
          <w:bCs/>
          <w:sz w:val="32"/>
          <w:szCs w:val="32"/>
        </w:rPr>
        <w:lastRenderedPageBreak/>
        <w:drawing>
          <wp:inline distT="0" distB="0" distL="0" distR="0" wp14:anchorId="6B479DF2" wp14:editId="34C045F9">
            <wp:extent cx="6645910" cy="4066540"/>
            <wp:effectExtent l="0" t="0" r="2540" b="0"/>
            <wp:docPr id="152034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44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9A3AC" w14:textId="77777777" w:rsidR="00414827" w:rsidRDefault="00414827" w:rsidP="00414827"/>
    <w:p w14:paraId="0A5E9BF0" w14:textId="77777777" w:rsidR="00414827" w:rsidRDefault="00414827" w:rsidP="00414827">
      <w:pPr>
        <w:jc w:val="center"/>
        <w:rPr>
          <w:b/>
          <w:bCs/>
          <w:sz w:val="32"/>
          <w:szCs w:val="32"/>
        </w:rPr>
      </w:pPr>
      <w:r w:rsidRPr="008E620C">
        <w:rPr>
          <w:b/>
          <w:bCs/>
          <w:sz w:val="32"/>
          <w:szCs w:val="32"/>
        </w:rPr>
        <w:t xml:space="preserve">To book, please email Crystal on </w:t>
      </w:r>
      <w:hyperlink r:id="rId9" w:history="1">
        <w:r w:rsidRPr="00864CC0">
          <w:rPr>
            <w:rStyle w:val="Hyperlink"/>
            <w:b/>
            <w:bCs/>
            <w:sz w:val="32"/>
            <w:szCs w:val="32"/>
          </w:rPr>
          <w:t>crystal@centeqevents.co.za</w:t>
        </w:r>
      </w:hyperlink>
    </w:p>
    <w:p w14:paraId="6317580C" w14:textId="77777777" w:rsidR="00414827" w:rsidRPr="008E620C" w:rsidRDefault="00414827" w:rsidP="008E620C">
      <w:pPr>
        <w:jc w:val="center"/>
        <w:rPr>
          <w:b/>
          <w:bCs/>
          <w:sz w:val="32"/>
          <w:szCs w:val="32"/>
        </w:rPr>
      </w:pPr>
    </w:p>
    <w:sectPr w:rsidR="00414827" w:rsidRPr="008E620C" w:rsidSect="005B069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66835"/>
    <w:multiLevelType w:val="multilevel"/>
    <w:tmpl w:val="21E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837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EE"/>
    <w:rsid w:val="00086581"/>
    <w:rsid w:val="000A13B1"/>
    <w:rsid w:val="000D2844"/>
    <w:rsid w:val="00125489"/>
    <w:rsid w:val="00134EC9"/>
    <w:rsid w:val="0014105F"/>
    <w:rsid w:val="00173D09"/>
    <w:rsid w:val="0019706D"/>
    <w:rsid w:val="001B0A55"/>
    <w:rsid w:val="001C7D93"/>
    <w:rsid w:val="001D37EE"/>
    <w:rsid w:val="001D5240"/>
    <w:rsid w:val="00211D2B"/>
    <w:rsid w:val="00216537"/>
    <w:rsid w:val="002428BF"/>
    <w:rsid w:val="0026153A"/>
    <w:rsid w:val="002D0940"/>
    <w:rsid w:val="002D325B"/>
    <w:rsid w:val="002E10A7"/>
    <w:rsid w:val="002F49E5"/>
    <w:rsid w:val="0040128B"/>
    <w:rsid w:val="00414827"/>
    <w:rsid w:val="004305EA"/>
    <w:rsid w:val="004600AE"/>
    <w:rsid w:val="005064EB"/>
    <w:rsid w:val="00534603"/>
    <w:rsid w:val="005A315A"/>
    <w:rsid w:val="005B069C"/>
    <w:rsid w:val="005E274E"/>
    <w:rsid w:val="00634326"/>
    <w:rsid w:val="00697DC9"/>
    <w:rsid w:val="006F6B74"/>
    <w:rsid w:val="0070318D"/>
    <w:rsid w:val="00720B6C"/>
    <w:rsid w:val="007708F5"/>
    <w:rsid w:val="007B7806"/>
    <w:rsid w:val="007F5453"/>
    <w:rsid w:val="008362BE"/>
    <w:rsid w:val="008362D0"/>
    <w:rsid w:val="00890C73"/>
    <w:rsid w:val="008C0A22"/>
    <w:rsid w:val="008E620C"/>
    <w:rsid w:val="00904E1B"/>
    <w:rsid w:val="009147A3"/>
    <w:rsid w:val="009340F2"/>
    <w:rsid w:val="00937CBD"/>
    <w:rsid w:val="009455C8"/>
    <w:rsid w:val="00965521"/>
    <w:rsid w:val="00987B14"/>
    <w:rsid w:val="00991797"/>
    <w:rsid w:val="009F1DCF"/>
    <w:rsid w:val="00A115BA"/>
    <w:rsid w:val="00A608DD"/>
    <w:rsid w:val="00AC516F"/>
    <w:rsid w:val="00AE2320"/>
    <w:rsid w:val="00B00325"/>
    <w:rsid w:val="00B05272"/>
    <w:rsid w:val="00B05C61"/>
    <w:rsid w:val="00BA3A7C"/>
    <w:rsid w:val="00C02C64"/>
    <w:rsid w:val="00C15EB4"/>
    <w:rsid w:val="00C27099"/>
    <w:rsid w:val="00C52CEA"/>
    <w:rsid w:val="00CE7CF3"/>
    <w:rsid w:val="00D21CB0"/>
    <w:rsid w:val="00D404AE"/>
    <w:rsid w:val="00D61CCE"/>
    <w:rsid w:val="00D65C9C"/>
    <w:rsid w:val="00D90047"/>
    <w:rsid w:val="00DA6B63"/>
    <w:rsid w:val="00E90FC7"/>
    <w:rsid w:val="00EA678F"/>
    <w:rsid w:val="00EC3BF4"/>
    <w:rsid w:val="00EF0E55"/>
    <w:rsid w:val="00F05FAA"/>
    <w:rsid w:val="00F1066F"/>
    <w:rsid w:val="00F16E9E"/>
    <w:rsid w:val="00F63A30"/>
    <w:rsid w:val="00FA10B8"/>
    <w:rsid w:val="01664D04"/>
    <w:rsid w:val="0EC4C82E"/>
    <w:rsid w:val="12955015"/>
    <w:rsid w:val="1C1995C5"/>
    <w:rsid w:val="1EDAC65D"/>
    <w:rsid w:val="1F917400"/>
    <w:rsid w:val="29F105C4"/>
    <w:rsid w:val="2FBBF521"/>
    <w:rsid w:val="38E14AFC"/>
    <w:rsid w:val="407F2DCD"/>
    <w:rsid w:val="45EFB551"/>
    <w:rsid w:val="469CFA47"/>
    <w:rsid w:val="493A3AA6"/>
    <w:rsid w:val="4EC3CB91"/>
    <w:rsid w:val="541B6A65"/>
    <w:rsid w:val="628BD80A"/>
    <w:rsid w:val="669C778F"/>
    <w:rsid w:val="686A6E15"/>
    <w:rsid w:val="6B56BCAA"/>
    <w:rsid w:val="77C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0B25B"/>
  <w15:chartTrackingRefBased/>
  <w15:docId w15:val="{771578AA-95E6-4628-A70E-5481F92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1D37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temtitle">
    <w:name w:val="itemtitle"/>
    <w:basedOn w:val="Normal"/>
    <w:rsid w:val="0019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9706D"/>
    <w:rPr>
      <w:b/>
      <w:bCs/>
    </w:rPr>
  </w:style>
  <w:style w:type="paragraph" w:styleId="NoSpacing">
    <w:name w:val="No Spacing"/>
    <w:uiPriority w:val="1"/>
    <w:qFormat/>
    <w:rsid w:val="00EF0E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10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1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ystal@centeqeve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B1CDB767F2C49B828D6E852FE6219" ma:contentTypeVersion="9" ma:contentTypeDescription="Create a new document." ma:contentTypeScope="" ma:versionID="6841a8ec838bda7f3b7798f4b92697a1">
  <xsd:schema xmlns:xsd="http://www.w3.org/2001/XMLSchema" xmlns:xs="http://www.w3.org/2001/XMLSchema" xmlns:p="http://schemas.microsoft.com/office/2006/metadata/properties" xmlns:ns2="caf647dc-e2eb-4123-bc2d-ad5b19b03b2f" targetNamespace="http://schemas.microsoft.com/office/2006/metadata/properties" ma:root="true" ma:fieldsID="0186b6428fa486e6b34fcb62716f66bd" ns2:_="">
    <xsd:import namespace="caf647dc-e2eb-4123-bc2d-ad5b19b03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47dc-e2eb-4123-bc2d-ad5b19b0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BE406-A074-4873-A6CE-15EAB80C5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47dc-e2eb-4123-bc2d-ad5b19b03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8FF04-858A-42BD-94D3-DE7585C3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6A76F-019A-489E-86D1-496C3FF16F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Kasselman</dc:creator>
  <cp:keywords/>
  <dc:description/>
  <cp:lastModifiedBy>conference@allevents.co.za</cp:lastModifiedBy>
  <cp:revision>2</cp:revision>
  <dcterms:created xsi:type="dcterms:W3CDTF">2025-01-14T19:19:00Z</dcterms:created>
  <dcterms:modified xsi:type="dcterms:W3CDTF">2025-01-14T19:19:00Z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0x010100F36B1CDB767F2C49B828D6E852FE6219</vt:lpwstr>
  </property>
</Properties>
</file>